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2023-2024学年第一学期第十三周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教职工政治学习资料</w:t>
      </w:r>
    </w:p>
    <w:p>
      <w:pPr>
        <w:pStyle w:val="2"/>
        <w:rPr>
          <w:rFonts w:hint="eastAsia"/>
        </w:rPr>
      </w:pPr>
    </w:p>
    <w:p>
      <w:pPr>
        <w:pStyle w:val="4"/>
        <w:keepNext w:val="0"/>
        <w:keepLines w:val="0"/>
        <w:widowControl/>
        <w:suppressLineNumbers w:val="0"/>
        <w:wordWrap/>
        <w:spacing w:before="0" w:beforeAutospacing="0" w:after="0" w:afterAutospacing="0" w:line="23" w:lineRule="atLeast"/>
        <w:ind w:left="0" w:right="0"/>
        <w:jc w:val="center"/>
        <w:rPr>
          <w:rFonts w:hint="eastAsia" w:ascii="Calibri" w:hAnsi="Calibri" w:eastAsia="方正小标宋简体" w:cs="Times New Roman"/>
          <w:b/>
          <w:bCs w:val="0"/>
          <w:color w:val="000000"/>
          <w:kern w:val="0"/>
          <w:sz w:val="32"/>
          <w:szCs w:val="32"/>
          <w:lang w:val="en-US" w:eastAsia="zh-CN" w:bidi="ar-SA"/>
        </w:rPr>
      </w:pPr>
      <w:r>
        <w:rPr>
          <w:rFonts w:hint="default" w:ascii="Calibri" w:hAnsi="Calibri" w:eastAsia="方正小标宋简体" w:cs="Times New Roman"/>
          <w:b/>
          <w:bCs w:val="0"/>
          <w:color w:val="000000"/>
          <w:kern w:val="0"/>
          <w:sz w:val="32"/>
          <w:szCs w:val="32"/>
          <w:lang w:val="en-US" w:eastAsia="zh-CN" w:bidi="ar-SA"/>
        </w:rPr>
        <w:t>习近平论“三农”工作和乡村振兴战略（2023年）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VW001.015.20230118.001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新时代的乡村振兴，要把特色农产品和乡村旅游搞好，你们是一个很好的样子。希望大家继续努力，百尺竿头更进一步，在乡村振兴中取得新的更大成绩，一起迈向共同富裕，生活越过越红火。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习近平2023年1月18日春节前夕视频连线看望慰问基层干部群众时的讲话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VW001.015.20230118.002</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疫情防控措施优化调整后，我最担心的是农村和广大农民朋友。农村医疗条件相对薄弱，防控难度大、任务重。要坚持像脱贫攻坚那样，“五级书记”抓农村防控，县乡村三级尤其要承担起属地责任，强化返乡务工人员和大中专学生防疫服务，加强农村老幼病残孕等重点人群医疗保障，最大程度维护好农民群众身体健康和正常生产生活秩序，确保群众平安过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习近平2023年1月18日春节前夕视频连线看望慰问基层干部群众时的讲话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VW001.015.20230131.001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全面推进城乡、区域协调发展，提高国内大循环的覆盖面。只有实现了城乡、区域协调发展，国内大循环的空间才能更广阔、成色才能更足。乡村既是巨大的消费市场，又是巨大的要素市场，是国内大循环的重要组成部分。要充分发挥乡村作为消费市场和要素市场的重要作用，全面推进乡村振兴，推进以县城为重要载体的城镇化建设，推动城乡融合发展，增强城乡经济联系，畅通城乡经济循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习近平2023年1月31日在二十届中央政治局第二次集体学习时的讲话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VW001.015.20230305.001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习近平2023年3月5日在参加十四届全国人大一次会议江苏代表团审议时的讲话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VW001.015.20230413.001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习近平2023年4月10日至13日在广东考察时的讲话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VW001.015.20230413.002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习近平2023年4月10日至13日在广东考察时的讲话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VW001.015.20230413.003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要积极推进以县城为重要载体的新型城镇化建设，加快构建现代乡村产业体系，发展新型农村集体经济，深入实施乡村建设行动，促进共同富裕。持续做好防止返贫动态监测和常态化帮扶，防止出现返贫。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习近平2023年4月10日至13日在广东考察时的讲话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VW001.015.20230501.001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得知大家通过学校设立的科技小院，深入田间地头和村屯农家，在服务乡村振兴中解民生、治学问，我很欣慰。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习近平2023年5月1日给中国农业大学科技小院的同学们的回信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VW001.015.20230512.001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开展盐碱地综合利用，是一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习近平2023年5月11日至12日在河北考察并主持召开深入推进京津冀协同发展座谈会时的讲话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VW001.015.20230517.001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习近平2023年5月17日在听取陕西省委和省政府工作汇报时的讲话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VW001.015.20230606.001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示范园区要在推广现代农业方面真正发挥作用，不断探索，找到适宜这里的品种、技术和耕种方式，成本要降下去、效益要提上来，形成可复制可推广的经验。河套地区条件得天独厚，虽然不缺水，但也要节约水资源，大力发展现代高效农业和节水产业，不能搞大水漫灌。总体上看，内蒙古的草原已经过牧了，要注意休养生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习近平2023年6月5日至6日在内蒙古巴彦淖尔考察时的讲话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VW001.015.20230606.002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河套灌区灌溉工程是千年基业，花了很大功夫，也很值得。要继续完善提升，提高科学分水调度水平。同时要量入为出，建立多元化投入机制，尽可能调动社会力量参与。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习近平2023年6月5日至6日在内蒙古巴彦淖尔考察时的讲话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VW001.015.20230608.001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习近平2023年6月7日至8日在内蒙古考察时的讲话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VW001.015.20230616.001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我们要巩固脱贫攻坚成果，实现乡村振兴，不断提高农村卫生健康水平。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习近平2023年6月16日会见美国比尔及梅琳达·盖茨基金会联席主席比尔·盖茨时的讲话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VW001.015.20230711.001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要锚定实现农业农村现代化、建设农业强国的战略目标，以处理好农民和土地关系为主线，加快补齐农业农村发展短板，为全面建设社会主义现代化国家打下坚实基础。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习近平2023年7月11日在中央全面深化改革委员会第二次会议上的讲话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VW001.015.20230720.001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粮食安全是“国之大者”，耕地是粮食生产的命根子，要落实藏粮于地、藏粮于技战略，切实加强耕地保护，全力提升耕地质量，充分挖掘盐碱地综合利用潜力，稳步拓展农业生产空间，提高农业综合生产能力。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习近平2023年7月20日在中央财经委员会第二次会议上的讲话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VW001.015.20230727.001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巩固脱贫攻坚成果，把乡村振兴摆在治蜀兴川的突出位置，更好扛起粮食、生猪、油料等重要农产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习近平2023年7月25日至27日在四川考察时的讲话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VW001.015.20230826.001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实现新疆社会稳定和高质量发展，最艰巨的任务在农村。要把巩固拓展脱贫攻坚成果、推进乡村振兴作为发展的重要抓手，加大经济发展和民生改善工作力度，加强水利设施建设和水资源优化配置，积极发展现代农业和光伏等产业园区，根据资源禀赋，培育发展新增长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习近平2023年8月26日在听取新疆维吾尔自治区党委和政府、新疆生产建设兵团工作汇报时的讲话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VW001.015.20230907.001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以发展现代化大农业为主攻方向，加快推进农业农村现代化。当好国家粮食稳产保供“压舱石”，是东北的首要担当。要始终把保障国家粮食安全摆在首位，加快实现农业农村现代化，提高粮食综合生产能力，确保平时产得出、供得足，极端情况下顶得上、靠得住。加大投入，率先把基本农田建成高标准农田，同步扩大黑土地保护实施范围，配套实施河湖连通、大型灌区续建改造工程，实施种业振兴行动，建设适宜耕作、旱涝保收、高产稳产的现代化良田。践行大食物观，合理开发利用东北各类资源，积极发展现代生态养殖，形成粮经饲统筹、农林牧渔多业并举的产业体系，把农业建成大产业。协同推进农产品初加工和精深加工，延伸产业链、提升价值链，拓展农业发展空间，促进农业增效、农民增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习近平2023年9月7日在主持召开新时代推动东北全面振兴座谈会时的讲话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VW001.015.20230907.002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加快边境地区交通、通信、能源、水利等基础设施的规划布局建设，加强边境村屯公共服务设施建设，全面推进乡村振兴，努力留住现有人口，同时鼓励发展边境贸易、边境旅游和农产品加工等特色产业，支持在边境城市新建职业教育院校，帮助县城和小城镇提升产业承载能力和人口聚集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习近平2023年9月7日在主持召开新时代推动东北全面振兴座谈会时的讲话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VW001.015.20230908.001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北极村前景可期。希望广大干部、群众共同努力，把乡村建设得更好、把生态保护得更好、让人民生活得更好，共同奔向中国式现代化的美好未来。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习近平2023年9月6日至8日在黑龙江考察时的讲话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VW001.015.20230908.002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习近平2023年9月6日至8日在黑龙江考察时的讲话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VW001.015.20230921.001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李祖村扎实推进共同富裕，是浙江“千万工程”显著成效的一个缩影，要再接再厉，在推动乡村振兴上取得更大成绩。乡村振兴为年轻人提供了展现才华的用武之地，希望更多的年轻人为乡村振兴发挥积极作用。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习近平2023年9月20日至21日在浙江考察时的讲话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VW001.015.20230921.002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乡村振兴潜力无限、大有可为，乡亲们要努力奋斗，一起奔向共同富裕的美好明天。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习近平2023年9月20日至21日在浙江考察时的讲话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VW001.015.20230921.003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习近平2023年9月20日至21日在浙江考察时的讲话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VW001.015.20230922.001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今年，我们克服黄淮罕见“烂场雨”、华北东北局地严重洪涝、西北局部干旱等灾害影响，全年粮食生产有望再获丰收，为推动经济持续回升向好、加快构建新发展格局、着力推动高质量发展提供了有力支撑。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各级党委和政府要深入贯彻党中央决策部署，锚定建设农业强国目标，稳住农业基本盘，扎实做好新时代新征程“三农”工作，全面推进乡村振兴，加快农业农村现代化步伐，坚持把增加农民收入作为“三农”工作的中心任务，千方百计拓宽农民增收致富渠道，让农民腰包越来越鼓、生活越来越美好，绘就宜居宜业和美乡村新画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习近平向全国广大农民和工作在“三农”战线上的同志们致以节日祝贺和诚挚问候，据新华社北京2023年9月22日电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VW001.015.20230924.001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人们生活水平在提高，优质特产市场需求在增长，石榴产业有发展潜力。要做好品牌、提升品质，延长产业链，增强产业市场竞争力和综合效益，带动更多乡亲共同致富。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习近平2023年9月24日在山东枣庄考察时的讲话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VW001.015.20230928.001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我们要围绕满足人民日益增长的美好生活需要，加大民生保障力度，着力扩大就业，解决好人民群众急难愁盼问题，加强对困难群体兜底帮扶，巩固拓展脱贫攻坚成果，全面推进乡村振兴，扎实推进共同富裕，不断增强人民群众获得感、幸福感、安全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习近平2023年9月28日在庆祝中华人民共和国成立74周年招待会上的讲话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VW001.015.20231012.001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习近平2023年10月12日在进一步推动长江经济带高质量发展座谈会上的讲话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VW001.015.20231013.001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优美的自然环境本身就是乡村振兴的优质资源，要找到实现生态价值转换的有效途径，让群众得到实实在在的好处。乡村要振兴，关键是把基层党组织建好、建强。基层党组织要成为群众致富的领路人，确保党的惠民政策落地见效，真正成为战斗堡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习近平2023年10月10日至13日在江西考察时的讲话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VW001.015.20231013.002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习近平2023年10月10日至13日在江西考察时的讲话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VW001.015.20231013.003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发挥生态优势和传统农业优势，打造区域性优质农副产品生产和供应基地。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习近平2023年10月10日至13日在江西考察时的讲话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VW001.015.20231013.004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习近平2023年10月10日至13日在江西考察时的讲话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VW001.015.20231110.001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面对历史罕见的洪灾，乡亲们遭受了很大的损失，我向大家表示慰问！各级党委和政府正在多方采取措施，扎实推进灾后恢复重建。希望乡亲们自力更生、艰苦奋斗，用自己的勤劳双手，加快恢复重建、推进乡村振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习近平2023年11月10日在北京河北考察灾后恢复重建工作时的讲话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VW001.015.20231110.002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习近平2023年11月10日在北京河北考察灾后恢复重建工作时的讲话</w:t>
      </w:r>
    </w:p>
    <w:p>
      <w:pPr>
        <w:pStyle w:val="2"/>
        <w:jc w:val="both"/>
      </w:pPr>
    </w:p>
    <w:p>
      <w:pPr>
        <w:pStyle w:val="3"/>
        <w:ind w:left="420"/>
      </w:pPr>
    </w:p>
    <w:p>
      <w:pPr>
        <w:spacing w:line="360" w:lineRule="auto"/>
        <w:ind w:firstLine="643" w:firstLineChars="200"/>
        <w:jc w:val="center"/>
        <w:rPr>
          <w:rFonts w:ascii="Calibri" w:hAnsi="Calibri" w:eastAsia="方正小标宋简体" w:cs="Times New Roman"/>
          <w:b/>
          <w:color w:val="000000"/>
          <w:kern w:val="0"/>
          <w:sz w:val="32"/>
          <w:szCs w:val="32"/>
        </w:rPr>
      </w:pPr>
      <w:r>
        <w:rPr>
          <w:rFonts w:hint="eastAsia" w:ascii="Calibri" w:hAnsi="Calibri" w:eastAsia="方正小标宋简体" w:cs="Times New Roman"/>
          <w:b/>
          <w:color w:val="000000"/>
          <w:kern w:val="0"/>
          <w:sz w:val="32"/>
          <w:szCs w:val="32"/>
        </w:rPr>
        <w:t>习近平出席亚太经合组织第三十次领导人非正式会议并发表重要讲话</w:t>
      </w:r>
    </w:p>
    <w:p>
      <w:pPr>
        <w:pStyle w:val="2"/>
        <w:spacing w:before="0" w:after="0"/>
      </w:pPr>
    </w:p>
    <w:p>
      <w:pPr>
        <w:spacing w:line="360" w:lineRule="auto"/>
        <w:ind w:firstLine="480" w:firstLineChars="200"/>
        <w:jc w:val="left"/>
        <w:rPr>
          <w:rFonts w:ascii="宋体" w:hAnsi="宋体"/>
          <w:sz w:val="24"/>
        </w:rPr>
      </w:pPr>
      <w:r>
        <w:rPr>
          <w:rFonts w:hint="eastAsia" w:ascii="宋体" w:hAnsi="宋体"/>
          <w:sz w:val="24"/>
        </w:rPr>
        <w:t>当地时间11月17日上午，亚太经合组织第三十次领导人非正式会议在美国旧金山莫斯科尼中心举行。国家主席习近平出席会议并发表题为《坚守初心 团结合作 携手共促亚太高质量增长》的重要讲话。</w:t>
      </w:r>
    </w:p>
    <w:p>
      <w:pPr>
        <w:spacing w:line="360" w:lineRule="auto"/>
        <w:ind w:firstLine="480" w:firstLineChars="200"/>
        <w:jc w:val="left"/>
        <w:rPr>
          <w:rFonts w:ascii="宋体" w:hAnsi="宋体"/>
          <w:sz w:val="24"/>
        </w:rPr>
      </w:pPr>
      <w:r>
        <w:rPr>
          <w:rFonts w:hint="eastAsia" w:ascii="宋体" w:hAnsi="宋体"/>
          <w:sz w:val="24"/>
        </w:rPr>
        <w:t>习近平指出，亚太经合组织建立领导人定期会议机制以来，始终走在全球开放发展的前沿，有力促进了区域贸易和投资自由化便利化、经济技术发展、物资人员流动，创造了举世瞩目的“亚太奇迹”。当前，世界百年变局加速演进，世界经济面临多种风险挑战，作为全球增长引擎，亚太肩负更大的时代责任。作为亚太地区领导人，我们都要深入思考，要把一个什么样的亚太带到本世纪中叶？如何打造亚太发展的下一个“黄金三十年”？在这一进程中如何更好发挥亚太经合组织作用？</w:t>
      </w:r>
    </w:p>
    <w:p>
      <w:pPr>
        <w:spacing w:line="360" w:lineRule="auto"/>
        <w:ind w:firstLine="480" w:firstLineChars="200"/>
        <w:jc w:val="left"/>
        <w:rPr>
          <w:rFonts w:ascii="宋体" w:hAnsi="宋体"/>
          <w:sz w:val="24"/>
        </w:rPr>
      </w:pPr>
      <w:r>
        <w:rPr>
          <w:rFonts w:hint="eastAsia" w:ascii="宋体" w:hAnsi="宋体"/>
          <w:sz w:val="24"/>
        </w:rPr>
        <w:t>当地时间11月17日上午，亚太经合组织第三十次领导人非正式会议在美国旧金山莫斯科尼中心举行。国家主席习近平出席会议并发表题为《坚守初心 团结合作 携手共促亚太高质量增长》的重要讲话。</w:t>
      </w:r>
    </w:p>
    <w:p>
      <w:pPr>
        <w:spacing w:line="360" w:lineRule="auto"/>
        <w:ind w:firstLine="480" w:firstLineChars="200"/>
        <w:jc w:val="left"/>
        <w:rPr>
          <w:rFonts w:ascii="宋体" w:hAnsi="宋体"/>
          <w:sz w:val="24"/>
        </w:rPr>
      </w:pPr>
      <w:r>
        <w:rPr>
          <w:rFonts w:hint="eastAsia" w:ascii="宋体" w:hAnsi="宋体"/>
          <w:sz w:val="24"/>
        </w:rPr>
        <w:t>习近平强调，我们应该秉持亚太合作初心，负责任地回应时代呼唤，携手应对全球性挑战，全面落实布特拉加亚愿景，建设开放、活力、强韧、和平的亚太共同体，实现亚太人民和子孙后代的共同繁荣。</w:t>
      </w:r>
    </w:p>
    <w:p>
      <w:pPr>
        <w:spacing w:line="360" w:lineRule="auto"/>
        <w:ind w:firstLine="480" w:firstLineChars="200"/>
        <w:jc w:val="left"/>
        <w:rPr>
          <w:rFonts w:ascii="宋体" w:hAnsi="宋体"/>
          <w:sz w:val="24"/>
        </w:rPr>
      </w:pPr>
      <w:r>
        <w:rPr>
          <w:rFonts w:hint="eastAsia" w:ascii="宋体" w:hAnsi="宋体"/>
          <w:sz w:val="24"/>
        </w:rPr>
        <w:t>第一，坚持创新驱动。要更加积极地推动科技交流合作，携手打造开放、公平、公正、非歧视的科技发展环境。加速数字化转型，缩小数字鸿沟，支持大数据、云计算、人工智能、量子计算等新技术应用，不断塑造亚太发展新动能新优势。中国提出亚太经合组织数字乡村建设、企业数字身份、利用数字技术促进绿色低碳转型等倡议，更好为亚太发展赋能。</w:t>
      </w:r>
    </w:p>
    <w:p>
      <w:pPr>
        <w:spacing w:line="360" w:lineRule="auto"/>
        <w:ind w:firstLine="480" w:firstLineChars="200"/>
        <w:jc w:val="left"/>
        <w:rPr>
          <w:rFonts w:ascii="宋体" w:hAnsi="宋体"/>
          <w:sz w:val="24"/>
        </w:rPr>
      </w:pPr>
      <w:r>
        <w:rPr>
          <w:rFonts w:hint="eastAsia" w:ascii="宋体" w:hAnsi="宋体"/>
          <w:sz w:val="24"/>
        </w:rPr>
        <w:t>第二，坚持开放导向。要维护自由开放的贸易投资，支持并加强以世界贸易组织为核心的多边贸易体制，维护全球产业链供应链稳定畅通，反对将经贸问题政治化、武器化、泛安全化。要坚定不移推进区域经济一体化，加快推进亚太自由贸易区进程。中国成功举办第三届“一带一路”国际合作高峰论坛，为促进全球互联互通、构建开放型世界经济注入新动力。</w:t>
      </w:r>
    </w:p>
    <w:p>
      <w:pPr>
        <w:spacing w:line="360" w:lineRule="auto"/>
        <w:ind w:firstLine="480" w:firstLineChars="200"/>
        <w:jc w:val="left"/>
        <w:rPr>
          <w:rFonts w:ascii="宋体" w:hAnsi="宋体"/>
          <w:sz w:val="24"/>
        </w:rPr>
      </w:pPr>
      <w:r>
        <w:rPr>
          <w:rFonts w:hint="eastAsia" w:ascii="宋体" w:hAnsi="宋体"/>
          <w:sz w:val="24"/>
        </w:rPr>
        <w:t>第三，坚持绿色发展。要坚持人与自然和谐共生，加快推动发展方式绿色低碳转型，协同推进降碳、减污、扩绿、增长，厚植亚太增长的绿色底色。中国坚持走生态优先、绿色发展之路，积极稳妥推进碳达峰碳中和。我们提出亚太经合组织绿色农业、可持续城市、能源低碳转型、海洋污染防治等合作倡议，推动共建清洁美丽的亚太。</w:t>
      </w:r>
    </w:p>
    <w:p>
      <w:pPr>
        <w:spacing w:line="360" w:lineRule="auto"/>
        <w:ind w:firstLine="480" w:firstLineChars="200"/>
        <w:jc w:val="left"/>
        <w:rPr>
          <w:rFonts w:ascii="宋体" w:hAnsi="宋体"/>
          <w:sz w:val="24"/>
        </w:rPr>
      </w:pPr>
      <w:r>
        <w:rPr>
          <w:rFonts w:hint="eastAsia" w:ascii="宋体" w:hAnsi="宋体"/>
          <w:sz w:val="24"/>
        </w:rPr>
        <w:t>第四，坚持普惠共享。要全面落实联合国2030年可持续发展议程，推动发展问题重回国际议程中心位置，深化发展战略对接，共同解决全球发展赤字。欢迎各方积极参与全球发展倡议，深化减贫、粮食安全、工业化、发展筹资等领域合作，构建全球发展共同体，让各国人民共享现代化建设成果。中国将继续支持亚太经合组织开展经济技术合作，共同做大亚太发展蛋糕。</w:t>
      </w:r>
    </w:p>
    <w:p>
      <w:pPr>
        <w:spacing w:line="360" w:lineRule="auto"/>
        <w:ind w:firstLine="480" w:firstLineChars="200"/>
        <w:jc w:val="left"/>
        <w:rPr>
          <w:rFonts w:ascii="宋体" w:hAnsi="宋体"/>
          <w:sz w:val="24"/>
        </w:rPr>
      </w:pPr>
      <w:r>
        <w:rPr>
          <w:rFonts w:hint="eastAsia" w:ascii="宋体" w:hAnsi="宋体"/>
          <w:sz w:val="24"/>
        </w:rPr>
        <w:t>习近平强调，中国正在以中国式现代化全面推进强国建设、民族复兴伟业。中国坚持走和平发展道路，坚持高质量发展，坚持高水平对外开放，以中国式现代化为推动实现世界各国的现代化提供新机遇。中国愿同各方一道努力，推动亚太合作取得更多丰硕成果，共同打造亚太下一个“黄金三十年”！</w:t>
      </w:r>
    </w:p>
    <w:p>
      <w:pPr>
        <w:spacing w:line="360" w:lineRule="auto"/>
        <w:ind w:firstLine="480" w:firstLineChars="200"/>
        <w:jc w:val="left"/>
        <w:rPr>
          <w:rFonts w:ascii="宋体" w:hAnsi="宋体"/>
          <w:sz w:val="24"/>
        </w:rPr>
      </w:pPr>
      <w:r>
        <w:rPr>
          <w:rFonts w:hint="eastAsia" w:ascii="宋体" w:hAnsi="宋体"/>
          <w:sz w:val="24"/>
        </w:rPr>
        <w:t>会议由美国总统拜登主持，主题为“为所有人创建强韧和可持续未来”。</w:t>
      </w:r>
    </w:p>
    <w:p>
      <w:pPr>
        <w:spacing w:line="360" w:lineRule="auto"/>
        <w:ind w:firstLine="480" w:firstLineChars="200"/>
        <w:jc w:val="left"/>
        <w:rPr>
          <w:rFonts w:ascii="宋体" w:hAnsi="宋体"/>
          <w:sz w:val="24"/>
        </w:rPr>
      </w:pPr>
      <w:r>
        <w:rPr>
          <w:rFonts w:hint="eastAsia" w:ascii="宋体" w:hAnsi="宋体"/>
          <w:sz w:val="24"/>
        </w:rPr>
        <w:t>会议发表了《2023年亚太经合组织领导人旧金山宣言》。</w:t>
      </w:r>
    </w:p>
    <w:p>
      <w:pPr>
        <w:spacing w:line="360" w:lineRule="auto"/>
        <w:ind w:firstLine="480" w:firstLineChars="200"/>
        <w:jc w:val="left"/>
        <w:rPr>
          <w:rFonts w:ascii="宋体" w:hAnsi="宋体"/>
          <w:sz w:val="24"/>
        </w:rPr>
      </w:pPr>
      <w:r>
        <w:rPr>
          <w:rFonts w:hint="eastAsia" w:ascii="宋体" w:hAnsi="宋体"/>
          <w:sz w:val="24"/>
        </w:rPr>
        <w:t>王毅参加会议。</w:t>
      </w:r>
    </w:p>
    <w:p>
      <w:pPr>
        <w:spacing w:line="360" w:lineRule="auto"/>
        <w:ind w:firstLine="480" w:firstLineChars="200"/>
        <w:jc w:val="right"/>
        <w:rPr>
          <w:rFonts w:ascii="楷体" w:hAnsi="楷体" w:eastAsia="楷体"/>
          <w:sz w:val="24"/>
        </w:rPr>
      </w:pPr>
      <w:r>
        <w:rPr>
          <w:rFonts w:hint="eastAsia" w:ascii="楷体" w:hAnsi="楷体" w:eastAsia="楷体"/>
          <w:sz w:val="24"/>
        </w:rPr>
        <w:t>（来源：新华社旧金山11月17日电 记者：倪四义 刘华）</w:t>
      </w:r>
    </w:p>
    <w:p/>
    <w:p>
      <w:pPr>
        <w:pStyle w:val="2"/>
        <w:rPr>
          <w:rFonts w:hint="eastAsia"/>
        </w:rPr>
      </w:pPr>
    </w:p>
    <w:p>
      <w:pPr>
        <w:pStyle w:val="3"/>
        <w:ind w:left="420"/>
        <w:rPr>
          <w:rFonts w:hint="eastAsia"/>
        </w:rPr>
      </w:pPr>
    </w:p>
    <w:p>
      <w:pPr>
        <w:widowControl/>
        <w:spacing w:line="520" w:lineRule="exact"/>
        <w:jc w:val="center"/>
        <w:rPr>
          <w:rFonts w:ascii="Times New Roman" w:hAnsi="Times New Roman" w:eastAsia="方正小标宋简体" w:cs="Times New Roman"/>
          <w:b/>
          <w:color w:val="000000" w:themeColor="text1"/>
          <w:kern w:val="0"/>
          <w:sz w:val="32"/>
          <w:szCs w:val="32"/>
          <w14:textFill>
            <w14:solidFill>
              <w14:schemeClr w14:val="tx1"/>
            </w14:solidFill>
          </w14:textFill>
        </w:rPr>
      </w:pPr>
      <w:r>
        <w:rPr>
          <w:rFonts w:ascii="Times New Roman" w:hAnsi="Times New Roman" w:eastAsia="方正小标宋简体" w:cs="Times New Roman"/>
          <w:b/>
          <w:color w:val="000000" w:themeColor="text1"/>
          <w:kern w:val="0"/>
          <w:sz w:val="32"/>
          <w:szCs w:val="32"/>
          <w14:textFill>
            <w14:solidFill>
              <w14:schemeClr w14:val="tx1"/>
            </w14:solidFill>
          </w14:textFill>
        </w:rPr>
        <w:t>习近平在中共中央政治局第九次集体学习时强调</w:t>
      </w:r>
    </w:p>
    <w:p>
      <w:pPr>
        <w:widowControl/>
        <w:spacing w:line="520" w:lineRule="exact"/>
        <w:jc w:val="center"/>
        <w:rPr>
          <w:rFonts w:ascii="Times New Roman" w:hAnsi="Times New Roman" w:eastAsia="方正小标宋简体" w:cs="Times New Roman"/>
          <w:b/>
          <w:color w:val="000000" w:themeColor="text1"/>
          <w:kern w:val="0"/>
          <w:sz w:val="36"/>
          <w:szCs w:val="36"/>
          <w14:textFill>
            <w14:solidFill>
              <w14:schemeClr w14:val="tx1"/>
            </w14:solidFill>
          </w14:textFill>
        </w:rPr>
      </w:pPr>
      <w:r>
        <w:rPr>
          <w:rFonts w:ascii="Times New Roman" w:hAnsi="Times New Roman" w:eastAsia="方正小标宋简体" w:cs="Times New Roman"/>
          <w:b/>
          <w:color w:val="000000" w:themeColor="text1"/>
          <w:kern w:val="0"/>
          <w:sz w:val="36"/>
          <w:szCs w:val="36"/>
          <w14:textFill>
            <w14:solidFill>
              <w14:schemeClr w14:val="tx1"/>
            </w14:solidFill>
          </w14:textFill>
        </w:rPr>
        <w:t>铸牢中华民族共同体意识</w:t>
      </w:r>
    </w:p>
    <w:p>
      <w:pPr>
        <w:widowControl/>
        <w:spacing w:line="520" w:lineRule="exact"/>
        <w:jc w:val="center"/>
        <w:rPr>
          <w:rFonts w:ascii="Times New Roman" w:hAnsi="Times New Roman" w:eastAsia="方正小标宋简体" w:cs="Times New Roman"/>
          <w:b/>
          <w:color w:val="000000" w:themeColor="text1"/>
          <w:kern w:val="0"/>
          <w:sz w:val="36"/>
          <w:szCs w:val="36"/>
          <w14:textFill>
            <w14:solidFill>
              <w14:schemeClr w14:val="tx1"/>
            </w14:solidFill>
          </w14:textFill>
        </w:rPr>
      </w:pPr>
      <w:r>
        <w:rPr>
          <w:rFonts w:ascii="Times New Roman" w:hAnsi="Times New Roman" w:eastAsia="方正小标宋简体" w:cs="Times New Roman"/>
          <w:b/>
          <w:color w:val="000000" w:themeColor="text1"/>
          <w:kern w:val="0"/>
          <w:sz w:val="36"/>
          <w:szCs w:val="36"/>
          <w14:textFill>
            <w14:solidFill>
              <w14:schemeClr w14:val="tx1"/>
            </w14:solidFill>
          </w14:textFill>
        </w:rPr>
        <w:t>推进新时代党的民族工作高质量发展</w:t>
      </w:r>
    </w:p>
    <w:p>
      <w:pPr>
        <w:pStyle w:val="2"/>
      </w:pP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中国社会科学院民族学与人类学研究所所长王延中同志就这个问题进行讲解，提出工作建议。中央政治局的同志认真听取了讲解，并进行了讨论。</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widowControl/>
        <w:spacing w:line="360" w:lineRule="auto"/>
        <w:ind w:firstLine="480" w:firstLineChars="200"/>
        <w:rPr>
          <w:rFonts w:ascii="宋体" w:hAnsi="宋体" w:eastAsia="宋体" w:cs="宋体"/>
          <w:color w:val="000000" w:themeColor="text1"/>
          <w:kern w:val="0"/>
          <w:sz w:val="24"/>
          <w:lang w:bidi="ar"/>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r>
        <w:rPr>
          <w:rFonts w:hint="eastAsia" w:ascii="宋体" w:hAnsi="宋体" w:eastAsia="宋体" w:cs="宋体"/>
          <w:color w:val="000000" w:themeColor="text1"/>
          <w:kern w:val="0"/>
          <w:sz w:val="24"/>
          <w:lang w:bidi="ar"/>
          <w14:textFill>
            <w14:solidFill>
              <w14:schemeClr w14:val="tx1"/>
            </w14:solidFill>
          </w14:textFill>
        </w:rPr>
        <w:t xml:space="preserve"> </w:t>
      </w:r>
      <w:r>
        <w:rPr>
          <w:rFonts w:ascii="宋体" w:hAnsi="宋体" w:eastAsia="宋体" w:cs="宋体"/>
          <w:color w:val="000000" w:themeColor="text1"/>
          <w:kern w:val="0"/>
          <w:sz w:val="24"/>
          <w:lang w:bidi="ar"/>
          <w14:textFill>
            <w14:solidFill>
              <w14:schemeClr w14:val="tx1"/>
            </w14:solidFill>
          </w14:textFill>
        </w:rPr>
        <w:t xml:space="preserve">    </w:t>
      </w:r>
    </w:p>
    <w:p>
      <w:pPr>
        <w:widowControl/>
        <w:spacing w:line="360" w:lineRule="auto"/>
        <w:ind w:firstLine="420" w:firstLineChars="200"/>
        <w:jc w:val="right"/>
        <w:rPr>
          <w:rFonts w:ascii="黑体" w:hAnsi="黑体" w:eastAsia="黑体" w:cs="黑体"/>
          <w:b/>
          <w:bCs/>
          <w:color w:val="000000" w:themeColor="text1"/>
          <w:kern w:val="0"/>
          <w:sz w:val="32"/>
          <w:szCs w:val="32"/>
          <w:lang w:bidi="ar"/>
          <w14:textFill>
            <w14:solidFill>
              <w14:schemeClr w14:val="tx1"/>
            </w14:solidFill>
          </w14:textFill>
        </w:rPr>
      </w:pPr>
      <w:r>
        <w:rPr>
          <w:rFonts w:hint="eastAsia" w:ascii="楷体" w:hAnsi="楷体" w:eastAsia="楷体" w:cs="楷体"/>
          <w:bCs/>
          <w:color w:val="000000" w:themeColor="text1"/>
          <w:kern w:val="0"/>
          <w:szCs w:val="21"/>
          <w:lang w:bidi="ar"/>
          <w14:textFill>
            <w14:solidFill>
              <w14:schemeClr w14:val="tx1"/>
            </w14:solidFill>
          </w14:textFill>
        </w:rPr>
        <w:t>（来源：新华社北京10月28日电）</w:t>
      </w:r>
    </w:p>
    <w:p>
      <w:pPr>
        <w:pStyle w:val="2"/>
      </w:pPr>
    </w:p>
    <w:p>
      <w:pPr>
        <w:pStyle w:val="3"/>
        <w:ind w:left="420"/>
      </w:pPr>
    </w:p>
    <w:p/>
    <w:p>
      <w:pPr>
        <w:pStyle w:val="2"/>
      </w:pPr>
    </w:p>
    <w:p>
      <w:pPr>
        <w:pStyle w:val="3"/>
        <w:ind w:left="420"/>
      </w:pPr>
    </w:p>
    <w:p/>
    <w:p>
      <w:pPr>
        <w:pStyle w:val="2"/>
      </w:pPr>
    </w:p>
    <w:p>
      <w:pPr>
        <w:pStyle w:val="3"/>
        <w:ind w:left="420"/>
      </w:pPr>
    </w:p>
    <w:p/>
    <w:p>
      <w:pPr>
        <w:widowControl/>
        <w:shd w:val="clear" w:color="auto" w:fill="FFFFFF"/>
        <w:spacing w:line="520" w:lineRule="exact"/>
        <w:jc w:val="center"/>
        <w:rPr>
          <w:rFonts w:ascii="Times New Roman" w:hAnsi="Times New Roman" w:eastAsia="方正小标宋简体" w:cs="Times New Roman"/>
          <w:b/>
          <w:kern w:val="0"/>
          <w:sz w:val="32"/>
          <w:szCs w:val="32"/>
        </w:rPr>
      </w:pPr>
      <w:r>
        <w:rPr>
          <w:rFonts w:hint="eastAsia" w:ascii="Times New Roman" w:hAnsi="Times New Roman" w:eastAsia="方正小标宋简体" w:cs="Times New Roman"/>
          <w:b/>
          <w:kern w:val="0"/>
          <w:sz w:val="32"/>
          <w:szCs w:val="32"/>
        </w:rPr>
        <w:t>中国共产党四川省第十二届委员会第四次全体会议公报</w:t>
      </w:r>
    </w:p>
    <w:p>
      <w:pPr>
        <w:spacing w:line="360" w:lineRule="auto"/>
        <w:rPr>
          <w:rFonts w:ascii="宋体" w:hAnsi="宋体" w:eastAsia="宋体" w:cs="宋体"/>
          <w:sz w:val="24"/>
        </w:rPr>
      </w:pPr>
      <w:r>
        <w:rPr>
          <w:rFonts w:hint="eastAsia" w:ascii="宋体" w:hAnsi="宋体" w:eastAsia="宋体" w:cs="宋体"/>
          <w:sz w:val="24"/>
        </w:rPr>
        <w:t>（2023年11月20日中国共产党四川省第十二届委员会第四次全体会议通过）</w: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中国共产党四川省第十二届委员会第四次全体会议，于2023年11月20日在成都举行。</w:t>
      </w:r>
    </w:p>
    <w:p>
      <w:pPr>
        <w:spacing w:line="360" w:lineRule="auto"/>
        <w:ind w:firstLine="480" w:firstLineChars="200"/>
        <w:rPr>
          <w:rFonts w:ascii="宋体" w:hAnsi="宋体" w:eastAsia="宋体" w:cs="宋体"/>
          <w:sz w:val="24"/>
        </w:rPr>
      </w:pPr>
      <w:r>
        <w:rPr>
          <w:rFonts w:hint="eastAsia" w:ascii="宋体" w:hAnsi="宋体" w:eastAsia="宋体" w:cs="宋体"/>
          <w:sz w:val="24"/>
        </w:rPr>
        <w:t>出席全会的有，省委委员85人，候补省委委员17人。省纪委常委、省监委委员和有关方面负责同志列席会议。省第十二次党代会代表中部分基层同志、专家学者和有关方面代表也列席会议。第二批主题教育中央第十二巡回指导组负责同志到会指导。</w:t>
      </w:r>
    </w:p>
    <w:p>
      <w:pPr>
        <w:spacing w:line="360" w:lineRule="auto"/>
        <w:ind w:firstLine="480" w:firstLineChars="200"/>
        <w:rPr>
          <w:rFonts w:ascii="宋体" w:hAnsi="宋体" w:eastAsia="宋体" w:cs="宋体"/>
          <w:sz w:val="24"/>
        </w:rPr>
      </w:pPr>
      <w:r>
        <w:rPr>
          <w:rFonts w:hint="eastAsia" w:ascii="宋体" w:hAnsi="宋体" w:eastAsia="宋体" w:cs="宋体"/>
          <w:sz w:val="24"/>
        </w:rPr>
        <w:t>全会由省委常委会主持。省委书记王晓晖作了讲话。</w:t>
      </w:r>
    </w:p>
    <w:p>
      <w:pPr>
        <w:spacing w:line="360" w:lineRule="auto"/>
        <w:ind w:firstLine="480" w:firstLineChars="200"/>
        <w:rPr>
          <w:rFonts w:ascii="宋体" w:hAnsi="宋体" w:eastAsia="宋体" w:cs="宋体"/>
          <w:sz w:val="24"/>
        </w:rPr>
      </w:pPr>
      <w:r>
        <w:rPr>
          <w:rFonts w:hint="eastAsia" w:ascii="宋体" w:hAnsi="宋体" w:eastAsia="宋体" w:cs="宋体"/>
          <w:sz w:val="24"/>
        </w:rPr>
        <w:t>全会坚持以习近平新时代中国特色社会主义思想为指导，深入学习贯彻党的二十大和二十届一中、二中全会精神，全面落实习近平总书记对四川工作系列重要指示精神和党中央决策部署，听取和讨论了王晓晖代表省委常委会作的工作报告，审议通过了《中共四川省委关于深入贯彻习近平总书记重要指示精神以县域为重要切入点扎实推进城乡融合发展的决定》。王晓晖就《决定（讨论稿）》向全会作了说明。</w:t>
      </w:r>
    </w:p>
    <w:p>
      <w:pPr>
        <w:spacing w:line="360" w:lineRule="auto"/>
        <w:ind w:firstLine="480" w:firstLineChars="200"/>
        <w:rPr>
          <w:rFonts w:ascii="宋体" w:hAnsi="宋体" w:eastAsia="宋体" w:cs="宋体"/>
          <w:sz w:val="24"/>
        </w:rPr>
      </w:pPr>
      <w:r>
        <w:rPr>
          <w:rFonts w:hint="eastAsia" w:ascii="宋体" w:hAnsi="宋体" w:eastAsia="宋体" w:cs="宋体"/>
          <w:sz w:val="24"/>
        </w:rPr>
        <w:t>全会充分肯定省委常委会的工作。一致认为，省委十二届二次全会以来，面对严峻复杂形势和多重困难挑战，面对全面建设社会主义现代化四川开局起步的艰巨繁重任务，在以习近平同志为核心的党中央坚强领导下，省委深入学习贯彻党的二十大精神和习近平总书记来川视察重要指示精神，精心组织开展学习贯彻习近平新时代中国特色社会主义思想主题教育，大力推进成渝地区双城经济圈建设，深入实施“四化同步、城乡融合、五区共兴”发展战略，谋划构建富有四川特色和优势的现代化产业体系，全力推动经济运行整体好转和高质量发展，举全省之力成功举办成都第31届世界大学生夏季运动会，扎实抓好乡村振兴和农业农村现代化、深化改革扩大开放、民主法治、宣传思想文化、保障和改善民生、筑牢长江黄河上游生态屏障、防风险保安全、全面从严治党等重点工作，新时代治蜀兴川各项事业取得新的进展，呈现经济回升向好、民生不断改善、社会大局稳定的良好局面。</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城乡融合发展是中国式现代化的重要标志，是破除城乡二元结构、拓展高质量发展空间、实现全体人民共同富裕的关键抓手。党的十八大以来，习近平总书记从强国建设、民族复兴的全局高度，科学研判我国城乡发展新的历史定位和发展特征，提出推进城乡融合发展的重大命题，并在理论上作出新概括、制度上进行新设计、实践上作出新探索，推动我国城乡关系发生深刻变化。总书记对四川城乡发展十分关心，每次来川视察都对此作出重要指示，饱含着对四川推进城乡融合发展、实现城乡共同繁荣的殷切期望。迈步全面建设社会主义现代化国家新征程，党中央把坚持城乡融合发展、畅通城乡要素流动作为推进中国式现代化的重要任务，强调到2035年前这段时间，是破除城乡二元结构、健全城乡融合发展体制机制的窗口期，必须加快建立健全城乡融合发展体制机制和政策体系，逐步缩小城乡发展差距，促进城乡共同繁荣。推进城乡融合发展，事关中国式现代化全局，事关贯彻新发展理念、构建新发展格局，事关实现全体人民共同富裕，意义重大而深远。我们要从全局和战略高度把握和处理城乡关系，坚决把总书记重要指示精神和党中央决策部署一项一项落到实处。</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四川既有大城市、又有大农村，城乡差距与区域差距交织叠加，城乡二元结构尤为明显，推进城乡融合发展任务尤为艰巨和紧迫。经过改革开放特别是新时代以来的探索实践，全省城乡发展格局不断优化，推进城乡融合发展、构建新型城乡关系进入提质加速的关键期。新时代新征程推进城乡融合发展，我们有工作基础、有现实条件、有潜力空间、有战略机遇，必须准确把握省委关于“重点在县域、难点在乡村”的重大判断，按照“抓好两端、畅通中间”的工作思路，以县域为重要切入点扎实推进城乡融合发展，加快形成工农互促、城乡互补、协调发展、共同繁荣的新型工农城乡关系。</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推进四川城乡融合发展，要以习近平新时代中国特色社会主义思想为指导，全面贯彻党的二十大精神，深入学习贯彻习近平总书记对四川工作系列重要指示精神，完整、准确、全面贯彻新发展理念，围绕服务和融入新发展格局、推动高质量发展、促进共同富裕，坚持以成渝地区双城经济圈建设为总牵引，深入实施“四化同步、城乡融合、五区共兴”发展战略，以县域为重要突破口，以协调推进乡村振兴战略和新型城镇化战略为抓手，以缩小城乡发展差距和居民生活水平差距为目标，以完善产权制度和要素市场化配置为重点，紧紧抓住窗口期全力攻坚，努力走出一条符合中国式现代化要求、具有四川特色的城乡融合发展新路子。必须牢牢把握正确方向，树立城乡一盘棋理念，坚持农业农村优先发展，强化以工补农、以城带乡，增强系统性、整体性、协同性。必须牢牢把握着力重点，坚持以县域为基本单元，围绕“兴产业、活要素、优服务、强治理”，统筹推进城乡规划布局、要素配置、产业发展、基础设施、公共服务、生态保护等相互融合和协同发展，加快构建县乡村功能衔接互补格局。必须牢牢把握科学方法，强化改革的突破和先导作用，充分考虑不同地区发展阶段和乡村差异，因地制宜、分类指导、精准施策，保持历史耐心，持续用力、久久为功。必须牢牢把握底线要求，坚持农民主体地位，尊重群众意愿和首创精神，严格“三区三线”管控，守住土地公有制性质不改变、耕地红线不突破、农民利益不受损底线，守住生态保护红线，守住乡村文化根脉，增强群众的获得感、幸福感、安全感。</w:t>
      </w:r>
    </w:p>
    <w:p>
      <w:pPr>
        <w:spacing w:line="360" w:lineRule="auto"/>
        <w:ind w:firstLine="480" w:firstLineChars="200"/>
        <w:rPr>
          <w:rFonts w:ascii="宋体" w:hAnsi="宋体" w:eastAsia="宋体" w:cs="宋体"/>
          <w:sz w:val="24"/>
        </w:rPr>
      </w:pPr>
      <w:r>
        <w:rPr>
          <w:rFonts w:hint="eastAsia" w:ascii="宋体" w:hAnsi="宋体" w:eastAsia="宋体" w:cs="宋体"/>
          <w:sz w:val="24"/>
        </w:rPr>
        <w:t>全会锚定四川现代化建设总体目标，提出推进城乡融合发展的目标：到2027年，城乡融合发展取得明显成效，城乡空间格局更加优化，县城综合承载能力明显增强，宜居宜业和美乡村建设取得标志性成果；城乡经济循环更加畅通，要素流动体制机制障碍进一步破除；城乡公共服务更加优质，基础设施一体化和基本公共服务均等化水平明显提高；城乡居民收入更加均衡，共同富裕迈出坚实步伐，繁荣农村与繁华城市相得益彰、农耕文明与城市文明交相辉映的新型城乡形态加快形成。到2035年，城乡融合发展的体制机制更加完善，城乡居民生活品质大幅提升，城乡区域发展差距和居民收入差距显著缩小，各美其美、美美与共的城乡发展共同体基本形成。</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要提升县城综合承载能力和服务功能，深入推进扩权强县，拓展优化县城发展空间，提升县城功能品质，做强县城产业支撑，切实增强县城对人口和产业的吸纳集聚能力。要推进宜居宜业和美乡村建设，学习运用浙江“千万工程”经验，加快构建现代乡村产业体系，持续改善农村人居环境，促进农民持续稳定增收，提升中心镇辐射带动能力，推进乡村全面振兴。要促进城乡要素平等交换双向流动，加快农业转移人口市民化，激发农村土地要素活力，健全乡村多元化投融资机制，创新人才入乡激励机制，提高城乡要素协同配置效率。要推进城乡公共资源均衡高效配置，坚持按实际管理服务人口规模配置公共资源，推进城乡基础设施一体化，推动基本公共服务城乡均等化，加快城乡文化融合发展。要提升城乡基层治理现代化水平，优化县乡村三级治理体系，提升基层治理法治化水平，推进县乡村治理数字化，加快形成县乡村联动、共建共治共享的城乡基层治理格局。</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要聚焦解决重点难点问题深入推进我省城乡融合发展，着力写好“四个融合”大文章。要着眼解决流通不畅问题促进要素融合，紧紧扭住“人、地、钱”三个关节点，有序引导人才到农村、资金到农村，让农村土地资源得到充分开发利用。要着眼解决联动不足问题促进产业融合，增强城乡经济联系，畅通城乡经济循环，注重把产业增值收益更多留给农民，让农业强起来、农村旺起来、农民富起来。要着眼解决供给不均问题促进设施融合，全力缩小基础设施“硬差距”，加快填补公共服务“软落差”，不断提高城乡基础设施完备度和公共服务便利度。要着眼解决管理不优问题促进治理融合，强化党建引领、文明善治和法治保障，以高效能治理促进高水平融合。</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指出，推进城乡融合发展涉及面广、政策性强、社会关注度高，是一项复杂的系统工程，必须加强组织领导。要建立省负总责、部门协同配合、市县抓落实的工作格局，强化市县党委、政府主体责任，坚持统筹谋划、协同推进，坚持因地制宜、循序渐进，坚持守正创新、防范风险，坚持积极探索、重点突破，抓好试点示范，加大考核激励力度，广泛凝聚各方力量，齐心协力把城乡融合发展不断推向深入。</w:t>
      </w:r>
    </w:p>
    <w:p>
      <w:pPr>
        <w:spacing w:line="360" w:lineRule="auto"/>
        <w:ind w:firstLine="480" w:firstLineChars="200"/>
        <w:rPr>
          <w:rFonts w:ascii="宋体" w:hAnsi="宋体" w:eastAsia="宋体" w:cs="宋体"/>
          <w:sz w:val="24"/>
        </w:rPr>
      </w:pPr>
      <w:r>
        <w:rPr>
          <w:rFonts w:hint="eastAsia" w:ascii="宋体" w:hAnsi="宋体" w:eastAsia="宋体" w:cs="宋体"/>
          <w:sz w:val="24"/>
        </w:rPr>
        <w:t>全会强调，学习宣传贯彻省委十二届四次全会精神，是当前和今后一个时期全省上下的重要政治任务。各级党委（党组）要扎实抓好传达学习、宣传宣讲和教育培训，准确把握推进城乡融合发展的重大意义、目标任务和重点工作，引导广大党员干部把思想和行动统一到省委决策部署上来。要切实增强新时代新征程推进城乡融合发展的自觉性坚定性，以强烈的责任感和使命感，一步一个脚印推动党中央大政方针和省委全会部署落到实处，共同把这件关乎四川现代化建设全局的大事抓实抓好、抓出成效，为全面建设社会主义现代化四川提供坚实支撑。</w:t>
      </w:r>
    </w:p>
    <w:p>
      <w:pPr>
        <w:spacing w:line="360" w:lineRule="auto"/>
        <w:ind w:firstLine="480" w:firstLineChars="200"/>
        <w:rPr>
          <w:rFonts w:ascii="宋体" w:hAnsi="宋体" w:eastAsia="宋体" w:cs="宋体"/>
          <w:sz w:val="24"/>
        </w:rPr>
      </w:pPr>
      <w:r>
        <w:rPr>
          <w:rFonts w:hint="eastAsia" w:ascii="宋体" w:hAnsi="宋体" w:eastAsia="宋体" w:cs="宋体"/>
          <w:sz w:val="24"/>
        </w:rPr>
        <w:t>全会根据《中国共产党章程》和《中国共产党地方委员会工作条例》有关规定，批准段毅君、李酌同志因调离四川辞去省委委员职务。</w:t>
      </w:r>
    </w:p>
    <w:p>
      <w:pPr>
        <w:spacing w:line="360" w:lineRule="auto"/>
        <w:ind w:firstLine="480" w:firstLineChars="200"/>
        <w:rPr>
          <w:rFonts w:ascii="宋体" w:hAnsi="宋体" w:eastAsia="宋体" w:cs="宋体"/>
          <w:sz w:val="24"/>
        </w:rPr>
      </w:pPr>
      <w:r>
        <w:rPr>
          <w:rFonts w:hint="eastAsia" w:ascii="宋体" w:hAnsi="宋体" w:eastAsia="宋体" w:cs="宋体"/>
          <w:sz w:val="24"/>
        </w:rPr>
        <w:t>全会号召，全省上下要更加紧密地团结在以习近平同志为核心的党中央周围，深入贯彻党的二十大精神和习近平总书记对四川工作系列重要指示精神，保持定力、踔厉奋发、苦干实干，加快推进我省城乡融合发展取得阶段性进展、标志性成效，为奋力谱写中国式现代化四川新篇章作出新的更大贡献！</w:t>
      </w:r>
    </w:p>
    <w:p>
      <w:pPr>
        <w:spacing w:line="360" w:lineRule="auto"/>
        <w:ind w:firstLine="420" w:firstLineChars="200"/>
        <w:jc w:val="right"/>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（来源：《四川日报》2023年11月21日第01版）</w:t>
      </w:r>
    </w:p>
    <w:p>
      <w:pPr>
        <w:spacing w:line="360" w:lineRule="auto"/>
        <w:ind w:firstLine="480" w:firstLineChars="200"/>
        <w:rPr>
          <w:rFonts w:ascii="宋体" w:hAnsi="宋体" w:eastAsia="宋体" w:cs="宋体"/>
          <w:sz w:val="24"/>
        </w:rPr>
      </w:pPr>
    </w:p>
    <w:p>
      <w:pPr>
        <w:spacing w:line="360" w:lineRule="auto"/>
        <w:ind w:firstLine="420"/>
        <w:rPr>
          <w:rFonts w:ascii="宋体" w:hAnsi="宋体" w:eastAsia="宋体" w:cs="宋体"/>
          <w:sz w:val="24"/>
        </w:rPr>
      </w:pPr>
    </w:p>
    <w:p>
      <w:pPr>
        <w:pStyle w:val="4"/>
        <w:widowControl/>
        <w:spacing w:before="0" w:beforeAutospacing="0" w:after="0" w:afterAutospacing="0" w:line="910" w:lineRule="atLeast"/>
        <w:jc w:val="center"/>
        <w:rPr>
          <w:rFonts w:hint="default" w:ascii="黑体" w:hAnsi="黑体" w:eastAsia="黑体" w:cs="黑体"/>
          <w:color w:val="000000"/>
          <w:kern w:val="0"/>
          <w:sz w:val="28"/>
          <w:szCs w:val="28"/>
          <w:lang w:bidi="ar"/>
        </w:rPr>
      </w:pPr>
      <w:r>
        <w:rPr>
          <w:rFonts w:hint="default" w:ascii="黑体" w:hAnsi="黑体" w:eastAsia="黑体" w:cs="黑体"/>
          <w:color w:val="000000"/>
          <w:kern w:val="0"/>
          <w:sz w:val="28"/>
          <w:szCs w:val="28"/>
          <w:lang w:bidi="ar"/>
        </w:rPr>
        <w:t>王晓晖在全省宣传思想文化工作会议上强调</w:t>
      </w:r>
    </w:p>
    <w:p>
      <w:pPr>
        <w:pStyle w:val="4"/>
        <w:widowControl/>
        <w:spacing w:before="0" w:beforeAutospacing="0" w:after="0" w:afterAutospacing="0"/>
        <w:jc w:val="center"/>
        <w:rPr>
          <w:rFonts w:hint="default" w:ascii="Calibri" w:hAnsi="Calibri" w:eastAsia="方正小标宋简体"/>
          <w:bCs w:val="0"/>
          <w:color w:val="000000"/>
          <w:kern w:val="0"/>
          <w:sz w:val="32"/>
          <w:szCs w:val="32"/>
        </w:rPr>
      </w:pPr>
      <w:r>
        <w:rPr>
          <w:rFonts w:hint="default" w:ascii="Calibri" w:hAnsi="Calibri" w:eastAsia="方正小标宋简体"/>
          <w:color w:val="000000"/>
          <w:kern w:val="0"/>
          <w:sz w:val="32"/>
          <w:szCs w:val="32"/>
        </w:rPr>
        <w:t>着</w:t>
      </w:r>
      <w:r>
        <w:rPr>
          <w:rFonts w:hint="default" w:ascii="Calibri" w:hAnsi="Calibri" w:eastAsia="方正小标宋简体"/>
          <w:bCs w:val="0"/>
          <w:color w:val="000000"/>
          <w:kern w:val="0"/>
          <w:sz w:val="32"/>
          <w:szCs w:val="32"/>
        </w:rPr>
        <w:t>力建设习近平文化思想实践新高地</w:t>
      </w:r>
    </w:p>
    <w:p>
      <w:pPr>
        <w:pStyle w:val="4"/>
        <w:widowControl/>
        <w:spacing w:before="0" w:beforeAutospacing="0" w:after="0" w:afterAutospacing="0"/>
        <w:jc w:val="center"/>
        <w:rPr>
          <w:rFonts w:hint="default" w:ascii="Calibri" w:hAnsi="Calibri" w:eastAsia="方正小标宋简体"/>
          <w:bCs w:val="0"/>
          <w:color w:val="000000"/>
          <w:kern w:val="0"/>
          <w:sz w:val="32"/>
          <w:szCs w:val="32"/>
        </w:rPr>
      </w:pPr>
      <w:r>
        <w:rPr>
          <w:rFonts w:hint="default" w:ascii="Calibri" w:hAnsi="Calibri" w:eastAsia="方正小标宋简体"/>
          <w:bCs w:val="0"/>
          <w:color w:val="000000"/>
          <w:kern w:val="0"/>
          <w:sz w:val="32"/>
          <w:szCs w:val="32"/>
        </w:rPr>
        <w:t>奋力谱写中华民族现代文明巴蜀新篇章</w:t>
      </w:r>
    </w:p>
    <w:p>
      <w:pPr>
        <w:rPr>
          <w:rFonts w:hint="eastAsia"/>
        </w:rPr>
      </w:pPr>
    </w:p>
    <w:p>
      <w:pPr>
        <w:spacing w:line="360" w:lineRule="auto"/>
        <w:ind w:firstLine="480" w:firstLineChars="200"/>
        <w:rPr>
          <w:rFonts w:hint="eastAsia" w:ascii="宋体" w:hAnsi="宋体" w:cs="宋体"/>
          <w:sz w:val="24"/>
        </w:rPr>
      </w:pPr>
      <w:r>
        <w:rPr>
          <w:rFonts w:hint="eastAsia" w:ascii="宋体" w:hAnsi="宋体" w:cs="宋体"/>
          <w:sz w:val="24"/>
        </w:rPr>
        <w:t>11月13日，全省宣传思想文化工作会议在成都召开，传达学习习近平总书记重要指示和全国宣传思想文化工作会议精神，对做好新时代新征程全省宣传思想文化工作进行安排部署，省委书记王晓晖出席会议并讲话。他强调，要坚定以习近平文化思想为统揽，全面落实全国宣传思想文化工作会议部署要求，自觉担负起新的文化使命，守正创新、锐意进取、拼搏实干，着力建设习近平文化思想实践新高地，奋力谱写中华民族现代文明巴蜀新篇章，不断开创全省宣传思想文化工作新局面。</w:t>
      </w:r>
    </w:p>
    <w:p>
      <w:pPr>
        <w:spacing w:line="360" w:lineRule="auto"/>
        <w:ind w:firstLine="480" w:firstLineChars="200"/>
        <w:rPr>
          <w:rFonts w:hint="eastAsia" w:ascii="宋体" w:hAnsi="宋体" w:cs="宋体"/>
          <w:sz w:val="24"/>
        </w:rPr>
      </w:pPr>
      <w:r>
        <w:rPr>
          <w:rFonts w:ascii="宋体" w:hAnsi="宋体" w:cs="宋体"/>
          <w:sz w:val="24"/>
        </w:rPr>
        <w:t>王晓晖在讲话中指出，党的十八大以来，以习近平同志为核心的党中央把宣传思想文化工作摆在治国理政的重要位置，作出一系列重大决策部署，推动新时代宣传思想文化事业取得历史性成就，意识形态领域形势发生全局性、根本性转变，全党全国各族人民文化自信明显增强、精神面貌更加奋发昂扬，为实现中华民族伟大复兴注入了更为主动的精神力量。在这个过程中，习近平总书记坚持把马克思主义基本原理同中国具体实际相结合、同中华优秀传统文化相结合，鲜明提出一系列具有原创性、独创性、开创性的重大理论观点，深刻回答了新时代文化建设一系列重大理论和实践问题，形成了习近平文化思想。这是我们党推进理论创新的又一重大成果，在党的宣传思想文化事业发展史上具有里程碑意义。这一重要思想，丰富和发展了马克思主义文化理论，巩固了中华民族的文化主体性，标志着我们党对中国特色社会主义文化建设规律的认识达到了新高度，表明我们党的历史自信、文化自信达到了新高度，开辟了马克思主义文化理论发展的新境界，是做好新时代新征程宣传思想文化工作、担负起新的文化使命的强大思想武器和科学行动指南。总书记对四川宣传思想文化工作特别是文化建设高度重视，多次作出重要指示、寄予殷切期望，指明了四川文化建设的地位优势、方向路径和着力重点，为我们做好宣传思想文化工作提供了最直接最有力的指导。全省各级党组织特别是宣传思想文化战线要站在坚定拥护“两个确立”、坚决做到“两个维护”的政治高度，自觉把习近平文化思想贯彻落实到全省宣传思想文化工作各方面全过程，同总书记对四川文化建设的重要指示精神结合起来，激励全省各族人民以无比坚定的历史自信和文化自信，奋力谱写中国式现代化四川新篇章。</w:t>
      </w:r>
    </w:p>
    <w:p>
      <w:pPr>
        <w:spacing w:line="360" w:lineRule="auto"/>
        <w:ind w:firstLine="480" w:firstLineChars="200"/>
        <w:rPr>
          <w:rFonts w:ascii="宋体" w:hAnsi="宋体" w:cs="宋体"/>
          <w:sz w:val="24"/>
        </w:rPr>
      </w:pPr>
      <w:r>
        <w:rPr>
          <w:rFonts w:ascii="宋体" w:hAnsi="宋体" w:cs="宋体"/>
          <w:sz w:val="24"/>
        </w:rPr>
        <w:t>王晓晖指出，要准确把握新时代新征程全省宣传思想文化工作的形势任务。这些年，在以习近平同志为核心的党中央坚强领导下，省委坚持把宣传思想文化工作摆在重要位置来抓，推动党的创新理论深入人心、主流思想舆论不断壮大、社会文明程度显著提升、文化事业产业繁荣发展、意识形态领域形势向上向好，各个方面都取得了新的成绩。同时我们必须清醒看到，当前世界百年未有之大变局加速演进，中华民族伟大复兴进入关键时期，战略机遇和风险挑战并存，宣传思想文化工作面临新形势新任务，需要我们站位全局谋深虑远，回答好一系列新的时代课题。要准确把握中华民族伟大复兴的宏伟目标，坚决扛起为现代化建设凝魂聚气的历史重任。要准确把握两个文明协调发展的时代要求，坚决扛起促进人民精神生活共同富裕的历史重任。要准确把握巴蜀文化在中华文明多元一体格局中的地位作用，坚决扛起赓续中华文脉的历史重任。要准确把握意识形态领域的复杂形势，坚决扛起维护国家战略腹地政治安全的历史重任。做好新时代新征程全省宣传思想文化工作，要坚持以习近平新时代中国特色社会主义思想为指导，全面贯彻党的二十大精神，深入学习贯彻习近平文化思想，全面落实习近平总书记对四川工作系列重要指示精神，自觉担负起新的文化使命，坚定不移举旗帜、聚民心、育新人、兴文化、展形象，整体提升创新理论引领力、主流舆论传播力、核心价值凝聚力、文化服务供给力、文旅产业竞争力，建设习近平文化思想实践新高地，谱写中华民族现代文明巴蜀新篇章，为全面建设社会主义现代化四川提供坚强思想保证、强大精神力量、有利文化条件。</w:t>
      </w:r>
    </w:p>
    <w:p>
      <w:pPr>
        <w:spacing w:line="360" w:lineRule="auto"/>
        <w:ind w:firstLine="480" w:firstLineChars="200"/>
        <w:rPr>
          <w:rFonts w:ascii="宋体" w:hAnsi="宋体" w:cs="宋体"/>
          <w:sz w:val="24"/>
        </w:rPr>
      </w:pPr>
      <w:r>
        <w:rPr>
          <w:rFonts w:ascii="宋体" w:hAnsi="宋体" w:cs="宋体"/>
          <w:sz w:val="24"/>
        </w:rPr>
        <w:t>王晓晖指出，要扎实抓好我省宣传思想文化工作各项重点任务。要坚持不懈用党的创新理论凝心铸魂，把学习贯彻习近平新时代中国特色社会主义思想作为首要政治任务，健全面向基层、面向群众的理论普及工作体系，加快构建具有中国特色、巴蜀风格的哲学社会科学体系，引导广大党员干部真正把马克思主义看家本领学到手，让党的创新理论“飞入寻常百姓家”。要巩固壮大全面建设社会主义现代化四川的主流思想舆论，加强和改进正面宣传，持续推进媒体深度融合发展，及时有效应对热点问题，营造正能量充盈、好声音充沛的社会氛围。要大力培育适应新时代要求的文明风尚，推动理想信念教育常态化制度化，深化新时代公民道德建设，改进创新精神文明建设工作，把正确的价值导向鲜明树立起来。要繁荣发展文化事业和文化产业，着力铸就“文艺川军”新辉煌，推进城乡公共文化服务体系一体建设，全面深化文化体制改革，不断壮大文化企业和数字文化产业，努力让文化产业成为现代化产业体系的重要支撑。要推动巴蜀文化绽放时代光彩，做好历史文化挖掘的大文章、努力在现代化建设中激活传统文化更大价值，做好考古发掘和文物保护的大文章、争取推出更多中华文明发现发掘成果，做好文旅深度融合的大文章、切实把资源优势转化为发展优势。要对外讲好四川故事传播好四川声音，全面提升国际传播效能，统筹开展“请进来”“走出去”活动，深化国际人文交流合作，向世界推介更多具有巴蜀特色、体现中国精神的优秀文化，助力我省高水平对外开放。要牢牢掌握意识形态工作领导权主动权，坚决有效防范化解意识形态风险。</w:t>
      </w:r>
    </w:p>
    <w:p>
      <w:pPr>
        <w:spacing w:line="360" w:lineRule="auto"/>
        <w:ind w:firstLine="480" w:firstLineChars="200"/>
        <w:rPr>
          <w:rFonts w:ascii="宋体" w:hAnsi="宋体" w:cs="宋体"/>
          <w:sz w:val="24"/>
        </w:rPr>
      </w:pPr>
      <w:r>
        <w:rPr>
          <w:rFonts w:ascii="宋体" w:hAnsi="宋体" w:cs="宋体"/>
          <w:sz w:val="24"/>
        </w:rPr>
        <w:t>王晓晖指出，要切实加强党对宣传思想文化工作的全面领导。要旗帜鲜明讲政治，更加自觉地在思想上政治上行动上同以习近平同志为核心的党中央保持高度一致，坚决把党管宣传、党管意识形态、党管媒体原则贯彻始终，坚决把政治家办报、办刊、办台、办新闻网站要求落实到位。要改革创新增活力，主动顺应科技新进步、实践新发展、群众新期待，增强宣传思想文化工作针对性实效性。要强基固本抓队伍，努力打造一支政治过硬、本领高强、求实创新、能打胜仗的宣传思想文化工作队伍。要齐抓共管聚合力，推动形成横向到边、纵向到底的大宣传工作格局，确保宣传思想文化工作有人抓、可落地、能见效。</w:t>
      </w:r>
    </w:p>
    <w:p>
      <w:pPr>
        <w:spacing w:line="360" w:lineRule="auto"/>
        <w:ind w:firstLine="480" w:firstLineChars="200"/>
        <w:rPr>
          <w:rFonts w:ascii="宋体" w:hAnsi="宋体" w:cs="宋体"/>
          <w:sz w:val="24"/>
        </w:rPr>
      </w:pPr>
      <w:r>
        <w:rPr>
          <w:rFonts w:ascii="宋体" w:hAnsi="宋体" w:cs="宋体"/>
          <w:sz w:val="24"/>
        </w:rPr>
        <w:t>省委常委、宣传部部长郑莉主持第一次会议并在第二次会议作工作部署，省委网信办、省委教育工委、文化和旅游厅、四川广播电视台、成都市委宣传部、广元市委宣传部、阿坝州委宣传部负责同志作交流发言。</w:t>
      </w:r>
    </w:p>
    <w:p>
      <w:pPr>
        <w:spacing w:line="360" w:lineRule="auto"/>
        <w:ind w:firstLine="480" w:firstLineChars="200"/>
        <w:rPr>
          <w:rFonts w:ascii="宋体" w:hAnsi="宋体" w:cs="宋体"/>
          <w:sz w:val="24"/>
        </w:rPr>
      </w:pPr>
      <w:r>
        <w:rPr>
          <w:rFonts w:ascii="宋体" w:hAnsi="宋体" w:cs="宋体"/>
          <w:sz w:val="24"/>
        </w:rPr>
        <w:t>省领导曹立军、陈炜、刘坪、胡云，省委宣传思想工作领导小组成员，各市（州）党委主要负责同志，省直各部门（单位）主要负责同志，中央在川单位和省属科研单位、高等学校、国有企业党组（党委）负责同志等参加会议。</w:t>
      </w:r>
    </w:p>
    <w:p>
      <w:pPr>
        <w:pStyle w:val="2"/>
        <w:spacing w:before="0" w:after="0" w:line="360" w:lineRule="auto"/>
        <w:jc w:val="right"/>
        <w:rPr>
          <w:rFonts w:hint="eastAsia" w:ascii="Calibri" w:hAnsi="Calibri" w:eastAsia="楷体" w:cs="Calibri"/>
          <w:sz w:val="24"/>
          <w:szCs w:val="24"/>
        </w:rPr>
      </w:pPr>
      <w:r>
        <w:rPr>
          <w:rFonts w:hint="eastAsia" w:ascii="Calibri" w:hAnsi="Calibri" w:eastAsia="楷体" w:cs="Calibri"/>
          <w:sz w:val="24"/>
          <w:szCs w:val="24"/>
        </w:rPr>
        <w:t>（来源：川观新闻 2023-11-13）</w:t>
      </w:r>
    </w:p>
    <w:p>
      <w:pPr>
        <w:spacing w:line="360" w:lineRule="auto"/>
        <w:ind w:firstLine="480" w:firstLineChars="200"/>
        <w:rPr>
          <w:rFonts w:hint="eastAsia" w:ascii="宋体" w:hAnsi="宋体" w:cs="宋体"/>
          <w:sz w:val="24"/>
        </w:rPr>
      </w:pPr>
    </w:p>
    <w:p>
      <w:pPr>
        <w:pStyle w:val="3"/>
        <w:ind w:left="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E0C3B-8E74-4F91-8FF0-8F568EA565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E7116DB-C60F-48B1-9443-C7B6586EB66E}"/>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5A0E7414-F9E3-498A-86EF-1D1E981C0DC0}"/>
  </w:font>
  <w:font w:name="楷体">
    <w:panose1 w:val="02010609060101010101"/>
    <w:charset w:val="86"/>
    <w:family w:val="modern"/>
    <w:pitch w:val="default"/>
    <w:sig w:usb0="800002BF" w:usb1="38CF7CFA" w:usb2="00000016" w:usb3="00000000" w:csb0="00040001" w:csb1="00000000"/>
    <w:embedRegular r:id="rId4" w:fontKey="{28AA7790-DBC2-4075-AED5-554C70E01D69}"/>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Y2M5MTFlODQ1N2E0MTM3ZjkwZmEyNTMyYTVhOGUifQ=="/>
  </w:docVars>
  <w:rsids>
    <w:rsidRoot w:val="006227CE"/>
    <w:rsid w:val="00040573"/>
    <w:rsid w:val="006227CE"/>
    <w:rsid w:val="006B2A9B"/>
    <w:rsid w:val="006F7DE3"/>
    <w:rsid w:val="007D2C84"/>
    <w:rsid w:val="00944BDE"/>
    <w:rsid w:val="009974AC"/>
    <w:rsid w:val="0C9F75BF"/>
    <w:rsid w:val="0F91064C"/>
    <w:rsid w:val="11900635"/>
    <w:rsid w:val="32FB7D8E"/>
    <w:rsid w:val="54E94E5D"/>
    <w:rsid w:val="7C00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3"/>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3"/>
    <w:link w:val="14"/>
    <w:qFormat/>
    <w:uiPriority w:val="0"/>
    <w:pPr>
      <w:spacing w:before="240" w:after="60"/>
      <w:jc w:val="center"/>
      <w:outlineLvl w:val="0"/>
    </w:pPr>
    <w:rPr>
      <w:rFonts w:ascii="Cambria" w:hAnsi="Cambria"/>
      <w:bCs/>
      <w:kern w:val="0"/>
      <w:sz w:val="32"/>
      <w:szCs w:val="32"/>
    </w:rPr>
  </w:style>
  <w:style w:type="paragraph" w:styleId="3">
    <w:name w:val="Body Text Indent"/>
    <w:basedOn w:val="1"/>
    <w:next w:val="1"/>
    <w:qFormat/>
    <w:uiPriority w:val="0"/>
    <w:pPr>
      <w:spacing w:after="120"/>
      <w:ind w:left="200" w:leftChars="200"/>
    </w:pPr>
    <w:rPr>
      <w:rFonts w:eastAsia="仿宋_GB2312"/>
      <w:sz w:val="36"/>
      <w:szCs w:val="36"/>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字符"/>
    <w:basedOn w:val="9"/>
    <w:link w:val="6"/>
    <w:uiPriority w:val="0"/>
    <w:rPr>
      <w:rFonts w:asciiTheme="minorHAnsi" w:hAnsiTheme="minorHAnsi" w:eastAsiaTheme="minorEastAsia" w:cstheme="minorBidi"/>
      <w:kern w:val="2"/>
      <w:sz w:val="18"/>
      <w:szCs w:val="18"/>
    </w:rPr>
  </w:style>
  <w:style w:type="character" w:customStyle="1" w:styleId="12">
    <w:name w:val="页脚 字符"/>
    <w:basedOn w:val="9"/>
    <w:link w:val="5"/>
    <w:uiPriority w:val="0"/>
    <w:rPr>
      <w:rFonts w:asciiTheme="minorHAnsi" w:hAnsiTheme="minorHAnsi" w:eastAsiaTheme="minorEastAsia" w:cstheme="minorBidi"/>
      <w:kern w:val="2"/>
      <w:sz w:val="18"/>
      <w:szCs w:val="18"/>
    </w:rPr>
  </w:style>
  <w:style w:type="character" w:customStyle="1" w:styleId="13">
    <w:name w:val="标题 1 字符"/>
    <w:basedOn w:val="9"/>
    <w:link w:val="4"/>
    <w:uiPriority w:val="0"/>
    <w:rPr>
      <w:rFonts w:ascii="宋体" w:hAnsi="宋体"/>
      <w:b/>
      <w:bCs/>
      <w:kern w:val="44"/>
      <w:sz w:val="48"/>
      <w:szCs w:val="48"/>
    </w:rPr>
  </w:style>
  <w:style w:type="character" w:customStyle="1" w:styleId="14">
    <w:name w:val="标题 字符"/>
    <w:basedOn w:val="9"/>
    <w:link w:val="2"/>
    <w:uiPriority w:val="0"/>
    <w:rPr>
      <w:rFonts w:ascii="Cambria" w:hAnsi="Cambria" w:eastAsiaTheme="minorEastAsia" w:cstheme="minorBid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1547</Words>
  <Characters>8821</Characters>
  <Lines>73</Lines>
  <Paragraphs>20</Paragraphs>
  <TotalTime>16</TotalTime>
  <ScaleCrop>false</ScaleCrop>
  <LinksUpToDate>false</LinksUpToDate>
  <CharactersWithSpaces>10348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鹤羽</cp:lastModifiedBy>
  <dcterms:modified xsi:type="dcterms:W3CDTF">2023-11-28T00:28:46Z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3EB347C065A04B908B16D76C120E0D1C_12</vt:lpwstr>
  </property>
</Properties>
</file>